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2017" cy="1060421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106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2024-2025 Escuela-Padre-Estudiante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  <w:u w:val="single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Pacto para el logro para Grado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Primaria Chattahoochee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Título I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2800 Holtzclaw Rd., Cumming, GA 30041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770.781.2240</w:t>
        <w:tab/>
        <w:tab/>
        <w:tab/>
        <w:tab/>
        <w:tab/>
        <w:tab/>
        <w:tab/>
        <w:tab/>
        <w:t xml:space="preserve">          Revisado el 9 de Agosto 2024</w:t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70"/>
        <w:tblGridChange w:id="0">
          <w:tblGrid>
            <w:gridCol w:w="4725"/>
            <w:gridCol w:w="5670"/>
          </w:tblGrid>
        </w:tblGridChange>
      </w:tblGrid>
      <w:tr>
        <w:trPr>
          <w:cantSplit w:val="0"/>
          <w:trHeight w:val="747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La Escuela Primaria Chattahoochee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los padres de los estudiantes que participan en actividades, servicios y programas financiados por el Título I, Parte A de la Ley de Educación Primaria y Secundaria (ESEA) (niños participantes), están de acuerdo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Si tiene preguntas, comuníquese con Kim Sarfaty,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Coordinador de Participación Familiar del Título 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en ksarfaty@forsyth.k12.ga.us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770.781.2240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Ext.152103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773555" cy="177355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77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¿Qué es un pacto entre escuela y padres?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 pacto para el rendimiento entre la escuela y los padres es un acuerdo que los padres, estudiantes y maestros desarrollan juntos a través de la colaboración y la retroalimentación de encuestas, aportes en línea y reuniones de padres y personal. Explica cómo los padres, maestros y estudiantes trabajarán juntos para asegurarse de que todos nuestros estudiantes alcancen los estándares de su nivel de grado.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comentarios de estas reuniones y encuestas incluyeron sugerencias de los maestros sobre estrategias de aprendizaje en el hogar. Las familias agregaron comentarios sobre el apoyo que necesitaban para ayudar a sus hijos en casa. Los estudiantes proporcionaron sus opiniones a los administradores cuando se les preguntó sobre las mejores formas que los ayudarían a aprender.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Cada año se realizan reuniones para revisar el pacto y realizar cambios basados en los aportes de las partes interesadas y las tendencias de datos que identifican las necesidades de los estudiantes y las familias.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u w:val="single"/>
                <w:rtl w:val="0"/>
              </w:rPr>
              <w:t xml:space="preserve">El compacto incluye: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Enlace a las metas del plan de mejoramiento escolar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Enfocar en las habilidades de aprendizaje de los estudiantes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cómo los maestros ayudarán a los estudiantes a desarrollar esas habilidades usando instrucción de alta calidad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Compartir estrategias que los padres pueden usar en casa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Explicar cómo los maestros y los padres se comunicarán sobre el progreso del estudiante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oportunidades para que los padres se ofrezcan como voluntarios, observen y participen en el salón de clases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85"/>
        <w:tblGridChange w:id="0">
          <w:tblGrid>
            <w:gridCol w:w="4725"/>
            <w:gridCol w:w="5685"/>
          </w:tblGrid>
        </w:tblGridChange>
      </w:tblGrid>
      <w:tr>
        <w:trPr>
          <w:cantSplit w:val="0"/>
          <w:trHeight w:val="4504.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¡LA COMUNICACIÓN ES IMPORTANTE PARA NOSOTROS!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1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Primaria de Chattahoochee(CES) se compromete a una comunicación bidireccional frecuente con las familias sobre el progreso de los niños. Puede esperar saber de nosotros a través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K.I.T (capeta)diario.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Canvas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Correos electrónicos del escuela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Boletines escolares mensuales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Informes trimestrales de calificaciones/Portal para padres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Sitio web de la escuela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Páginas de redes sociales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Actividades para construir alianzas y capacidad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invitamos a ser voluntario, observar y participar en las siguientes maneras: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 de currículo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 de padres y profesores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Oportunidades para voluntarios: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Watch DOGS (Papás de  Estudiantes Excelentes)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Tutoría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Reuniones Anuales de Título I: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Reunión de información/planificación de marzo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Padres en Acción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Consejo Escolar Local (LSC)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5370"/>
        <w:tblGridChange w:id="0">
          <w:tblGrid>
            <w:gridCol w:w="5520"/>
            <w:gridCol w:w="53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Nuestras metas para el logro estudiantil</w:t>
            </w:r>
          </w:p>
        </w:tc>
      </w:tr>
      <w:tr>
        <w:trPr>
          <w:cantSplit w:val="0"/>
          <w:trHeight w:val="5345.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Metas Escolares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-28574</wp:posOffset>
                  </wp:positionV>
                  <wp:extent cx="449132" cy="52398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32" cy="52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ELA/lectura según lo medido por la Evaluación Georgia Milestone en los grados 3.º a 5.º. El porcentaje de estudiantes de 3.° a 5.° con calificaciones de nivel proficiente o superior en Lectura en La Evaluación de Georgia Milestones aumentará del 42 % (primavera de 2023) al 50 % (primavera de 2025).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matemáticas según lo medido por la Evaluación Georgia Milestone en los grados 3.º a 5.º. El porcentaje de estudiantes de 3.º a 5.º grado que obtengan un nivel proficiente o superior en el GMA de Matemáticas aumentará del 56 % (primavera de 2023) al 60 % (primavera de 2025).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18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  Metas del Distrito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-28574</wp:posOffset>
                  </wp:positionV>
                  <wp:extent cx="343908" cy="397405"/>
                  <wp:effectExtent b="0" l="0" r="0" t="0"/>
                  <wp:wrapSquare wrapText="bothSides" distB="0" distT="0" distL="0" distR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" cy="39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las Escuelas del Condado de Forsyth aumentarán el puntaje de rendimiento dentro del componente cerrando brechas del CCRPI al cumplir con el objetivo del 3 % establecido en el año escolar de referencia para cada banda de nivel de grado.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el 12% de las escuelas de FCS aumentarán su calificación de clima escolar y el 48% mantendrá 5 estrellas.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495"/>
        <w:gridCol w:w="3780"/>
        <w:tblGridChange w:id="0">
          <w:tblGrid>
            <w:gridCol w:w="3615"/>
            <w:gridCol w:w="3495"/>
            <w:gridCol w:w="37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6"/>
                <w:szCs w:val="26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6"/>
                <w:szCs w:val="26"/>
                <w:rtl w:val="0"/>
              </w:rPr>
              <w:t xml:space="preserve">Maestros, estudiantes, familias: juntos por el éxito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 Primer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 grado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nuestra escuela se centrará principalmente en las siguientes áreas: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Participación lectora, fluidez y comprensión y fluidez en operaciones matemáticas: suma hasta 10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7.7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EN EL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maestros trabajarán con las familias para apoyar el éxito de sus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ESTUDIANTES CES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estudiantes del Primaria de Chattahoochee (CES) se unieron al personal para desarrollar ideas sobre cómo pueden tener éxito en la escuela.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EN CASA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8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Las familias de CES se unieron al personal para desarrollar ideas sobre cómo las familias pueden apoyar el éxito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1.2578124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profesores: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Asóciese con familias y estudiantes durante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a las familias capacitación y materiales para el hogar para apoyar estrategias para la participación en la lectura, la fluidez y las habilidades de comprensión.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Guiar a los estudiantes y padres en la creación y seguimiento de objetivos de aprendizaje personalizados.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y capacitar a las familias con fluidez matemática, incluidas sumas y restas hasta 10, y recordar estrategias y actividades para practicar en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estudiantes:</w:t>
            </w:r>
          </w:p>
          <w:p w:rsidR="00000000" w:rsidDel="00000000" w:rsidP="00000000" w:rsidRDefault="00000000" w:rsidRPr="00000000" w14:paraId="00000063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Asista a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Leer en casa diariamente usando estrategias de fluidez y comprensión proporcionadas por el maestro.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sus padres para crear y monitorear el progreso de los objetivos de aprendizaje personalizados. 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Practique operaciones matemáticas, incluidas la suma y la resta hasta 10, diariamente utilizando estrategias proporcionadas por el maestro.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spacing w:before="1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Las familias: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Asociarse con maestros y estudiantes durante las Noches de Participación Familiar para participar en actividades de enriquecimiento que apoyan la participación académica y el rendimiento estudiantil.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 participación en la lectura, la fluidez y la práctica de habilidades de comprensión en el hogar; Priorizar la lectura como actividad familiar.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estudiante para crear y monitorear el progreso de los objetivos de aprendizaje personalizados. 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las habilidades matemáticas, incluidas la suma y la resta hasta 10, practicar en casa.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ageBreakBefore w:val="0"/>
        <w:ind w:left="-27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52" w:right="1152" w:header="720" w:footer="720"/>
      <w:pgNumType w:start="1"/>
      <w:cols w:equalWidth="0" w:num="1" w:sep="1">
        <w:col w:space="0" w:w="993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Fredok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04D5A0EEE8449CF92A5BA3662297" ma:contentTypeVersion="17" ma:contentTypeDescription="Create a new document." ma:contentTypeScope="" ma:versionID="a59fc0c2ce0094f978093e0a8fd8c895">
  <xsd:schema xmlns:xsd="http://www.w3.org/2001/XMLSchema" xmlns:xs="http://www.w3.org/2001/XMLSchema" xmlns:p="http://schemas.microsoft.com/office/2006/metadata/properties" xmlns:ns1="http://schemas.microsoft.com/sharepoint/v3" xmlns:ns2="8be2f124-3e90-4992-9857-2e30b55dd760" xmlns:ns3="29371759-af54-45b7-beaa-06de69180d8c" targetNamespace="http://schemas.microsoft.com/office/2006/metadata/properties" ma:root="true" ma:fieldsID="3ae9fbaf5522a2b228403d645b6f87d4" ns1:_="" ns2:_="" ns3:_="">
    <xsd:import namespace="http://schemas.microsoft.com/sharepoint/v3"/>
    <xsd:import namespace="8be2f124-3e90-4992-9857-2e30b55dd760"/>
    <xsd:import namespace="29371759-af54-45b7-beaa-06de6918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124-3e90-4992-9857-2e30b55d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1759-af54-45b7-beaa-06de6918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ce3c73-a960-4ce6-a6a3-e556a2eef6ec}" ma:internalName="TaxCatchAll" ma:showField="CatchAllData" ma:web="29371759-af54-45b7-beaa-06de6918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371759-af54-45b7-beaa-06de69180d8c" xsi:nil="true"/>
    <_ip_UnifiedCompliancePolicyProperties xmlns="http://schemas.microsoft.com/sharepoint/v3" xsi:nil="true"/>
    <lcf76f155ced4ddcb4097134ff3c332f xmlns="8be2f124-3e90-4992-9857-2e30b55d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A775C-FAB7-4325-A4EF-913379842E76}"/>
</file>

<file path=customXml/itemProps2.xml><?xml version="1.0" encoding="utf-8"?>
<ds:datastoreItem xmlns:ds="http://schemas.openxmlformats.org/officeDocument/2006/customXml" ds:itemID="{A8C31E05-4DBC-4004-8978-DCE680E8AB00}"/>
</file>

<file path=customXml/itemProps3.xml><?xml version="1.0" encoding="utf-8"?>
<ds:datastoreItem xmlns:ds="http://schemas.openxmlformats.org/officeDocument/2006/customXml" ds:itemID="{97FC3585-CFB0-401D-9AC1-82C39C243AE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0x010100FDA004D5A0EEE8449CF92A5BA3662297</vt:lpwstr>
  </property>
</Properties>
</file>